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E5" w:rsidRDefault="00622BB9" w:rsidP="00622BB9">
      <w:pPr>
        <w:contextualSpacing/>
        <w:jc w:val="center"/>
        <w:rPr>
          <w:rFonts w:cs="Arimo"/>
          <w:b/>
          <w:sz w:val="44"/>
          <w:szCs w:val="20"/>
        </w:rPr>
      </w:pPr>
      <w:bookmarkStart w:id="0" w:name="OLE_LINK43"/>
      <w:bookmarkStart w:id="1" w:name="OLE_LINK44"/>
      <w:bookmarkStart w:id="2" w:name="OLE_LINK56"/>
      <w:bookmarkStart w:id="3" w:name="OLE_LINK57"/>
      <w:bookmarkStart w:id="4" w:name="_GoBack"/>
      <w:bookmarkEnd w:id="4"/>
      <w:r w:rsidRPr="006505E5">
        <w:rPr>
          <w:rFonts w:cs="Arimo"/>
          <w:b/>
          <w:sz w:val="44"/>
          <w:szCs w:val="20"/>
        </w:rPr>
        <w:t xml:space="preserve">Molecular mechanism of </w:t>
      </w:r>
      <w:r w:rsidR="006505E5" w:rsidRPr="006505E5">
        <w:rPr>
          <w:rFonts w:cs="Arimo"/>
          <w:b/>
          <w:sz w:val="44"/>
          <w:szCs w:val="20"/>
        </w:rPr>
        <w:t>Cas1-Cas2</w:t>
      </w:r>
      <w:r w:rsidR="006505E5">
        <w:rPr>
          <w:rFonts w:cs="Arimo" w:hint="eastAsia"/>
          <w:b/>
          <w:sz w:val="44"/>
          <w:szCs w:val="20"/>
        </w:rPr>
        <w:t>-mediated</w:t>
      </w:r>
      <w:r w:rsidR="006505E5" w:rsidRPr="006505E5">
        <w:rPr>
          <w:rFonts w:cs="Arimo"/>
          <w:b/>
          <w:sz w:val="44"/>
          <w:szCs w:val="20"/>
        </w:rPr>
        <w:t xml:space="preserve"> </w:t>
      </w:r>
    </w:p>
    <w:p w:rsidR="00622BB9" w:rsidRPr="006505E5" w:rsidRDefault="006505E5" w:rsidP="006505E5">
      <w:pPr>
        <w:contextualSpacing/>
        <w:jc w:val="center"/>
        <w:rPr>
          <w:rFonts w:cs="Arimo"/>
          <w:b/>
          <w:sz w:val="44"/>
          <w:szCs w:val="20"/>
        </w:rPr>
      </w:pPr>
      <w:proofErr w:type="gramStart"/>
      <w:r>
        <w:rPr>
          <w:rFonts w:cs="Arimo"/>
          <w:b/>
          <w:sz w:val="44"/>
          <w:szCs w:val="20"/>
        </w:rPr>
        <w:t>memory</w:t>
      </w:r>
      <w:proofErr w:type="gramEnd"/>
      <w:r>
        <w:rPr>
          <w:rFonts w:cs="Arimo"/>
          <w:b/>
          <w:sz w:val="44"/>
          <w:szCs w:val="20"/>
        </w:rPr>
        <w:t xml:space="preserve"> formation</w:t>
      </w:r>
      <w:r>
        <w:rPr>
          <w:rFonts w:cs="Arimo" w:hint="eastAsia"/>
          <w:b/>
          <w:sz w:val="44"/>
          <w:szCs w:val="20"/>
        </w:rPr>
        <w:t xml:space="preserve"> </w:t>
      </w:r>
      <w:r w:rsidR="00BC2452" w:rsidRPr="006505E5">
        <w:rPr>
          <w:rFonts w:cs="Arimo"/>
          <w:b/>
          <w:sz w:val="44"/>
          <w:szCs w:val="20"/>
        </w:rPr>
        <w:t xml:space="preserve">in CRISPR-Cas </w:t>
      </w:r>
      <w:bookmarkEnd w:id="0"/>
      <w:bookmarkEnd w:id="1"/>
      <w:r w:rsidR="00622BB9" w:rsidRPr="006505E5">
        <w:rPr>
          <w:rFonts w:cs="Arimo"/>
          <w:b/>
          <w:sz w:val="44"/>
          <w:szCs w:val="20"/>
        </w:rPr>
        <w:t>immunity</w:t>
      </w:r>
    </w:p>
    <w:p w:rsidR="00622BB9" w:rsidRDefault="00622BB9" w:rsidP="00622BB9">
      <w:pPr>
        <w:contextualSpacing/>
        <w:jc w:val="center"/>
        <w:rPr>
          <w:rFonts w:cs="Arimo"/>
          <w:b/>
          <w:sz w:val="24"/>
          <w:szCs w:val="20"/>
          <w:u w:val="single"/>
        </w:rPr>
      </w:pPr>
    </w:p>
    <w:p w:rsidR="00622BB9" w:rsidRPr="006505E5" w:rsidRDefault="00BC2452" w:rsidP="006505E5">
      <w:pPr>
        <w:contextualSpacing/>
        <w:jc w:val="center"/>
        <w:rPr>
          <w:rFonts w:cs="Arimo"/>
          <w:b/>
          <w:sz w:val="32"/>
          <w:szCs w:val="20"/>
        </w:rPr>
      </w:pPr>
      <w:r w:rsidRPr="006505E5">
        <w:rPr>
          <w:rFonts w:cs="Arimo"/>
          <w:b/>
          <w:sz w:val="32"/>
          <w:szCs w:val="20"/>
        </w:rPr>
        <w:t>Sungchul Kim</w:t>
      </w:r>
      <w:r w:rsidR="006505E5">
        <w:rPr>
          <w:rFonts w:cs="Arimo" w:hint="eastAsia"/>
          <w:b/>
          <w:sz w:val="32"/>
          <w:szCs w:val="20"/>
        </w:rPr>
        <w:t>, PhD</w:t>
      </w:r>
    </w:p>
    <w:p w:rsidR="006505E5" w:rsidRPr="00CA2890" w:rsidRDefault="006505E5" w:rsidP="00622BB9">
      <w:pPr>
        <w:contextualSpacing/>
        <w:jc w:val="center"/>
        <w:rPr>
          <w:rFonts w:cs="Arimo"/>
          <w:sz w:val="24"/>
          <w:szCs w:val="20"/>
          <w:vertAlign w:val="superscript"/>
        </w:rPr>
      </w:pPr>
    </w:p>
    <w:p w:rsidR="006505E5" w:rsidRPr="006505E5" w:rsidRDefault="00BC2452" w:rsidP="006505E5">
      <w:pPr>
        <w:spacing w:line="240" w:lineRule="auto"/>
        <w:ind w:left="90" w:hanging="90"/>
        <w:contextualSpacing/>
        <w:jc w:val="center"/>
      </w:pPr>
      <w:r w:rsidRPr="006505E5">
        <w:t xml:space="preserve">Kavli Institute of Nanoscience and Department of Bionanoscience, </w:t>
      </w:r>
    </w:p>
    <w:p w:rsidR="00BC2452" w:rsidRPr="006505E5" w:rsidRDefault="00BC2452" w:rsidP="006505E5">
      <w:pPr>
        <w:spacing w:line="240" w:lineRule="auto"/>
        <w:ind w:left="90" w:hanging="90"/>
        <w:contextualSpacing/>
        <w:jc w:val="center"/>
      </w:pPr>
      <w:r w:rsidRPr="006505E5">
        <w:t>Delft University of Technology, Delft 2629HZ, the Netherlands</w:t>
      </w:r>
    </w:p>
    <w:p w:rsidR="00BC2452" w:rsidRPr="00DA19FE" w:rsidRDefault="00BC2452" w:rsidP="00622BB9">
      <w:pPr>
        <w:spacing w:line="240" w:lineRule="auto"/>
        <w:ind w:left="90" w:hanging="90"/>
        <w:contextualSpacing/>
        <w:rPr>
          <w:rFonts w:cs="Arimo"/>
          <w:sz w:val="16"/>
          <w:szCs w:val="20"/>
          <w:vertAlign w:val="superscript"/>
        </w:rPr>
      </w:pPr>
    </w:p>
    <w:p w:rsidR="00BC2452" w:rsidRDefault="00BC2452" w:rsidP="00622BB9">
      <w:pPr>
        <w:contextualSpacing/>
        <w:jc w:val="center"/>
        <w:rPr>
          <w:b/>
          <w:sz w:val="32"/>
        </w:rPr>
      </w:pPr>
    </w:p>
    <w:p w:rsidR="006505E5" w:rsidRDefault="00D237D2" w:rsidP="006505E5">
      <w:pPr>
        <w:contextualSpacing/>
        <w:jc w:val="both"/>
        <w:rPr>
          <w:szCs w:val="20"/>
        </w:rPr>
      </w:pPr>
      <w:r w:rsidRPr="003C0648">
        <w:rPr>
          <w:szCs w:val="20"/>
        </w:rPr>
        <w:t xml:space="preserve">CRISPR-Cas systems are diverse, RNA-guided adaptive immune systems that defend a broad range of prokaryotes against invasions by viruses and plasmids. A crucial initial step, called ‘‘adaptation’’ or ‘‘spacer acquisition’’ is </w:t>
      </w:r>
      <w:r w:rsidR="009D1778">
        <w:rPr>
          <w:rFonts w:hint="eastAsia"/>
          <w:szCs w:val="20"/>
        </w:rPr>
        <w:t>the updating</w:t>
      </w:r>
      <w:r w:rsidRPr="003C0648">
        <w:rPr>
          <w:szCs w:val="20"/>
        </w:rPr>
        <w:t xml:space="preserve"> </w:t>
      </w:r>
      <w:r w:rsidR="009D1778">
        <w:rPr>
          <w:rFonts w:hint="eastAsia"/>
          <w:szCs w:val="20"/>
        </w:rPr>
        <w:t xml:space="preserve">process of </w:t>
      </w:r>
      <w:bookmarkStart w:id="5" w:name="OLE_LINK64"/>
      <w:bookmarkStart w:id="6" w:name="OLE_LINK65"/>
      <w:r w:rsidR="009D1778">
        <w:rPr>
          <w:szCs w:val="20"/>
        </w:rPr>
        <w:t>genetic memor</w:t>
      </w:r>
      <w:r w:rsidR="009D1778">
        <w:rPr>
          <w:rFonts w:hint="eastAsia"/>
          <w:szCs w:val="20"/>
        </w:rPr>
        <w:t>y</w:t>
      </w:r>
      <w:r w:rsidR="009D1778" w:rsidRPr="003C0648">
        <w:rPr>
          <w:szCs w:val="20"/>
        </w:rPr>
        <w:t xml:space="preserve"> (spacer) </w:t>
      </w:r>
      <w:bookmarkEnd w:id="5"/>
      <w:bookmarkEnd w:id="6"/>
      <w:r w:rsidR="009D1778">
        <w:rPr>
          <w:rFonts w:hint="eastAsia"/>
          <w:szCs w:val="20"/>
        </w:rPr>
        <w:t>by i</w:t>
      </w:r>
      <w:r w:rsidRPr="003C0648">
        <w:rPr>
          <w:szCs w:val="20"/>
        </w:rPr>
        <w:t>ntegrat</w:t>
      </w:r>
      <w:r w:rsidR="009D1778">
        <w:rPr>
          <w:rFonts w:hint="eastAsia"/>
          <w:szCs w:val="20"/>
        </w:rPr>
        <w:t>ing</w:t>
      </w:r>
      <w:r w:rsidRPr="003C0648">
        <w:rPr>
          <w:szCs w:val="20"/>
        </w:rPr>
        <w:t xml:space="preserve"> foreign DNA fragments (protospacers) </w:t>
      </w:r>
      <w:r w:rsidR="009D1778">
        <w:rPr>
          <w:rFonts w:hint="eastAsia"/>
          <w:szCs w:val="20"/>
        </w:rPr>
        <w:t xml:space="preserve">in </w:t>
      </w:r>
      <w:r w:rsidRPr="003C0648">
        <w:rPr>
          <w:szCs w:val="20"/>
        </w:rPr>
        <w:t xml:space="preserve">between repeats in host CRISPR arrays for inheritable immunity against future invaders. </w:t>
      </w:r>
      <w:r w:rsidR="00CA2890" w:rsidRPr="003C0648">
        <w:rPr>
          <w:szCs w:val="20"/>
          <w:lang w:val="en-GB"/>
        </w:rPr>
        <w:t xml:space="preserve">So far, the molecular mechanism of new spacer acquisition </w:t>
      </w:r>
      <w:r w:rsidR="002F4D88" w:rsidRPr="003C0648">
        <w:rPr>
          <w:szCs w:val="20"/>
          <w:lang w:val="en-GB"/>
        </w:rPr>
        <w:t xml:space="preserve">has </w:t>
      </w:r>
      <w:r w:rsidR="00CA2890" w:rsidRPr="003C0648">
        <w:rPr>
          <w:szCs w:val="20"/>
          <w:lang w:val="en-GB"/>
        </w:rPr>
        <w:t xml:space="preserve">been </w:t>
      </w:r>
      <w:r w:rsidR="004048CD">
        <w:rPr>
          <w:rFonts w:hint="eastAsia"/>
          <w:szCs w:val="20"/>
          <w:lang w:val="en-GB"/>
        </w:rPr>
        <w:t xml:space="preserve">relatively </w:t>
      </w:r>
      <w:r w:rsidR="002F4D88" w:rsidRPr="003C0648">
        <w:rPr>
          <w:rFonts w:hint="eastAsia"/>
          <w:szCs w:val="20"/>
          <w:lang w:val="en-GB"/>
        </w:rPr>
        <w:t xml:space="preserve">less </w:t>
      </w:r>
      <w:r w:rsidR="00CA2890" w:rsidRPr="003C0648">
        <w:rPr>
          <w:szCs w:val="20"/>
          <w:lang w:val="en-GB"/>
        </w:rPr>
        <w:t xml:space="preserve">understood. </w:t>
      </w:r>
      <w:r w:rsidR="003C0648" w:rsidRPr="003C0648">
        <w:rPr>
          <w:rFonts w:hint="eastAsia"/>
          <w:szCs w:val="20"/>
        </w:rPr>
        <w:t xml:space="preserve">Although </w:t>
      </w:r>
      <w:r w:rsidR="00436F49" w:rsidRPr="00436F49">
        <w:rPr>
          <w:szCs w:val="20"/>
        </w:rPr>
        <w:t xml:space="preserve">heterohexameric </w:t>
      </w:r>
      <w:proofErr w:type="gramStart"/>
      <w:r w:rsidRPr="003C0648">
        <w:rPr>
          <w:szCs w:val="20"/>
        </w:rPr>
        <w:t>Cas1</w:t>
      </w:r>
      <w:r w:rsidR="006505E5" w:rsidRPr="006505E5">
        <w:rPr>
          <w:rFonts w:hint="eastAsia"/>
          <w:szCs w:val="20"/>
          <w:vertAlign w:val="subscript"/>
        </w:rPr>
        <w:t>(</w:t>
      </w:r>
      <w:proofErr w:type="gramEnd"/>
      <w:r w:rsidR="006505E5" w:rsidRPr="006505E5">
        <w:rPr>
          <w:rFonts w:hint="eastAsia"/>
          <w:szCs w:val="20"/>
          <w:vertAlign w:val="subscript"/>
        </w:rPr>
        <w:t>4)</w:t>
      </w:r>
      <w:r w:rsidR="003C0648" w:rsidRPr="003C0648">
        <w:rPr>
          <w:rFonts w:hint="eastAsia"/>
          <w:szCs w:val="20"/>
        </w:rPr>
        <w:t>-</w:t>
      </w:r>
      <w:r w:rsidRPr="003C0648">
        <w:rPr>
          <w:szCs w:val="20"/>
        </w:rPr>
        <w:t>Cas2</w:t>
      </w:r>
      <w:r w:rsidR="006505E5">
        <w:rPr>
          <w:rFonts w:hint="eastAsia"/>
          <w:szCs w:val="20"/>
          <w:vertAlign w:val="subscript"/>
        </w:rPr>
        <w:t>(2</w:t>
      </w:r>
      <w:r w:rsidR="006505E5" w:rsidRPr="006505E5">
        <w:rPr>
          <w:rFonts w:hint="eastAsia"/>
          <w:szCs w:val="20"/>
          <w:vertAlign w:val="subscript"/>
        </w:rPr>
        <w:t>)</w:t>
      </w:r>
      <w:r w:rsidRPr="003C0648">
        <w:rPr>
          <w:szCs w:val="20"/>
        </w:rPr>
        <w:t xml:space="preserve"> </w:t>
      </w:r>
      <w:r w:rsidR="003C0648" w:rsidRPr="003C0648">
        <w:rPr>
          <w:rFonts w:hint="eastAsia"/>
          <w:szCs w:val="20"/>
        </w:rPr>
        <w:t>complex</w:t>
      </w:r>
      <w:r w:rsidRPr="003C0648">
        <w:rPr>
          <w:szCs w:val="20"/>
        </w:rPr>
        <w:t xml:space="preserve"> sufficiently sustain new spacer acquisition</w:t>
      </w:r>
      <w:r w:rsidR="003C0648" w:rsidRPr="003C0648">
        <w:rPr>
          <w:rFonts w:hint="eastAsia"/>
          <w:szCs w:val="20"/>
        </w:rPr>
        <w:t xml:space="preserve"> </w:t>
      </w:r>
      <w:r w:rsidR="003C0648" w:rsidRPr="003C0648">
        <w:rPr>
          <w:szCs w:val="20"/>
        </w:rPr>
        <w:t>promiscuously</w:t>
      </w:r>
      <w:r w:rsidR="009D1778">
        <w:rPr>
          <w:rFonts w:hint="eastAsia"/>
          <w:szCs w:val="20"/>
        </w:rPr>
        <w:t xml:space="preserve"> in </w:t>
      </w:r>
      <w:bookmarkStart w:id="7" w:name="OLE_LINK66"/>
      <w:bookmarkStart w:id="8" w:name="OLE_LINK67"/>
      <w:r w:rsidR="009D1778">
        <w:rPr>
          <w:rFonts w:hint="eastAsia"/>
          <w:i/>
          <w:szCs w:val="20"/>
        </w:rPr>
        <w:t>E. coli</w:t>
      </w:r>
      <w:r w:rsidR="009D1778" w:rsidRPr="003C0648">
        <w:rPr>
          <w:szCs w:val="20"/>
        </w:rPr>
        <w:t xml:space="preserve"> </w:t>
      </w:r>
      <w:r w:rsidR="009D1778">
        <w:rPr>
          <w:rFonts w:hint="eastAsia"/>
          <w:szCs w:val="20"/>
        </w:rPr>
        <w:t>type I-E</w:t>
      </w:r>
      <w:bookmarkEnd w:id="7"/>
      <w:bookmarkEnd w:id="8"/>
      <w:r w:rsidR="009D1778">
        <w:rPr>
          <w:rFonts w:hint="eastAsia"/>
          <w:szCs w:val="20"/>
        </w:rPr>
        <w:t xml:space="preserve"> system</w:t>
      </w:r>
      <w:r w:rsidR="002F4D88" w:rsidRPr="003C0648">
        <w:rPr>
          <w:rFonts w:hint="eastAsia"/>
          <w:szCs w:val="20"/>
        </w:rPr>
        <w:t xml:space="preserve">, </w:t>
      </w:r>
      <w:r w:rsidRPr="003C0648">
        <w:rPr>
          <w:szCs w:val="20"/>
        </w:rPr>
        <w:t xml:space="preserve">it remains unclear </w:t>
      </w:r>
      <w:r w:rsidR="00CA2890" w:rsidRPr="003C0648">
        <w:rPr>
          <w:rFonts w:hint="eastAsia"/>
          <w:szCs w:val="20"/>
        </w:rPr>
        <w:t xml:space="preserve">how Cas1-Cas2 complex </w:t>
      </w:r>
      <w:r w:rsidR="006505E5">
        <w:rPr>
          <w:rFonts w:hint="eastAsia"/>
          <w:szCs w:val="20"/>
        </w:rPr>
        <w:t xml:space="preserve">can </w:t>
      </w:r>
      <w:r w:rsidR="00CA2890" w:rsidRPr="003C0648">
        <w:rPr>
          <w:rFonts w:hint="eastAsia"/>
          <w:szCs w:val="20"/>
        </w:rPr>
        <w:t>process loaded protospacer DNAs</w:t>
      </w:r>
      <w:r w:rsidR="004048CD">
        <w:rPr>
          <w:rFonts w:hint="eastAsia"/>
          <w:szCs w:val="20"/>
        </w:rPr>
        <w:t xml:space="preserve"> into the </w:t>
      </w:r>
      <w:r w:rsidR="00CA2890" w:rsidRPr="003C0648">
        <w:rPr>
          <w:rFonts w:hint="eastAsia"/>
          <w:szCs w:val="20"/>
        </w:rPr>
        <w:t>optimal</w:t>
      </w:r>
      <w:r w:rsidR="004048CD">
        <w:rPr>
          <w:rFonts w:hint="eastAsia"/>
          <w:szCs w:val="20"/>
        </w:rPr>
        <w:t xml:space="preserve"> size</w:t>
      </w:r>
      <w:r w:rsidR="00CA2890" w:rsidRPr="003C0648">
        <w:rPr>
          <w:rFonts w:hint="eastAsia"/>
          <w:szCs w:val="20"/>
        </w:rPr>
        <w:t xml:space="preserve"> to be integrated</w:t>
      </w:r>
      <w:r w:rsidR="004048CD">
        <w:rPr>
          <w:rFonts w:hint="eastAsia"/>
          <w:szCs w:val="20"/>
        </w:rPr>
        <w:t xml:space="preserve"> in CRISPR array</w:t>
      </w:r>
      <w:r w:rsidR="00CA2890" w:rsidRPr="003C0648">
        <w:rPr>
          <w:rFonts w:hint="eastAsia"/>
          <w:szCs w:val="20"/>
        </w:rPr>
        <w:t xml:space="preserve"> at the leader-proximal repeat</w:t>
      </w:r>
      <w:r w:rsidR="006505E5">
        <w:rPr>
          <w:rFonts w:hint="eastAsia"/>
          <w:szCs w:val="20"/>
        </w:rPr>
        <w:t>,</w:t>
      </w:r>
      <w:r w:rsidR="009D1778">
        <w:rPr>
          <w:rFonts w:hint="eastAsia"/>
          <w:szCs w:val="20"/>
        </w:rPr>
        <w:t xml:space="preserve"> as well as </w:t>
      </w:r>
      <w:r w:rsidR="009D1778" w:rsidRPr="003C0648">
        <w:rPr>
          <w:szCs w:val="20"/>
        </w:rPr>
        <w:t xml:space="preserve">how the Cas1-Cas2 complex can specifically </w:t>
      </w:r>
      <w:r w:rsidR="009D1778" w:rsidRPr="003C0648">
        <w:rPr>
          <w:rFonts w:hint="eastAsia"/>
          <w:szCs w:val="20"/>
        </w:rPr>
        <w:t xml:space="preserve">recognize and load protospacer DNA fragments containing </w:t>
      </w:r>
      <w:r w:rsidR="009D1778" w:rsidRPr="003C0648">
        <w:rPr>
          <w:szCs w:val="20"/>
        </w:rPr>
        <w:t>protospacer-adjacent motif</w:t>
      </w:r>
      <w:r w:rsidR="009D1778" w:rsidRPr="003C0648">
        <w:rPr>
          <w:rFonts w:hint="eastAsia"/>
          <w:szCs w:val="20"/>
        </w:rPr>
        <w:t xml:space="preserve"> (PAM)</w:t>
      </w:r>
      <w:r w:rsidR="00CA2890" w:rsidRPr="003C0648">
        <w:rPr>
          <w:rFonts w:hint="eastAsia"/>
          <w:szCs w:val="20"/>
        </w:rPr>
        <w:t xml:space="preserve">. Most </w:t>
      </w:r>
      <w:r w:rsidR="00CA2890" w:rsidRPr="003C0648">
        <w:rPr>
          <w:szCs w:val="20"/>
        </w:rPr>
        <w:t xml:space="preserve">importantly, </w:t>
      </w:r>
      <w:r w:rsidR="002F4D88" w:rsidRPr="003C0648">
        <w:rPr>
          <w:szCs w:val="20"/>
        </w:rPr>
        <w:t xml:space="preserve">it </w:t>
      </w:r>
      <w:r w:rsidR="002F4D88" w:rsidRPr="003C0648">
        <w:rPr>
          <w:rFonts w:hint="eastAsia"/>
          <w:szCs w:val="20"/>
        </w:rPr>
        <w:t xml:space="preserve">has </w:t>
      </w:r>
      <w:r w:rsidR="00DA19FE">
        <w:rPr>
          <w:rFonts w:hint="eastAsia"/>
          <w:szCs w:val="20"/>
        </w:rPr>
        <w:t xml:space="preserve">not been </w:t>
      </w:r>
      <w:proofErr w:type="gramStart"/>
      <w:r w:rsidR="00DA19FE">
        <w:rPr>
          <w:rFonts w:hint="eastAsia"/>
          <w:szCs w:val="20"/>
        </w:rPr>
        <w:t>revealed</w:t>
      </w:r>
      <w:proofErr w:type="gramEnd"/>
      <w:r w:rsidR="002F4D88" w:rsidRPr="003C0648">
        <w:rPr>
          <w:szCs w:val="20"/>
        </w:rPr>
        <w:t xml:space="preserve"> how orientation of spacer integration</w:t>
      </w:r>
      <w:r w:rsidR="002F4D88" w:rsidRPr="003C0648">
        <w:rPr>
          <w:rFonts w:hint="eastAsia"/>
          <w:szCs w:val="20"/>
        </w:rPr>
        <w:t xml:space="preserve"> </w:t>
      </w:r>
      <w:r w:rsidR="002F4D88" w:rsidRPr="003C0648">
        <w:rPr>
          <w:szCs w:val="20"/>
        </w:rPr>
        <w:t>is achieved</w:t>
      </w:r>
      <w:r w:rsidR="009D1778">
        <w:rPr>
          <w:rFonts w:hint="eastAsia"/>
          <w:szCs w:val="20"/>
        </w:rPr>
        <w:t xml:space="preserve"> correctly</w:t>
      </w:r>
      <w:r w:rsidR="002F4D88" w:rsidRPr="003C0648">
        <w:rPr>
          <w:szCs w:val="20"/>
        </w:rPr>
        <w:t>.</w:t>
      </w:r>
      <w:r w:rsidR="003C0648">
        <w:rPr>
          <w:rFonts w:hint="eastAsia"/>
          <w:szCs w:val="20"/>
        </w:rPr>
        <w:t xml:space="preserve"> </w:t>
      </w:r>
      <w:r w:rsidR="005071C2">
        <w:rPr>
          <w:rFonts w:hint="eastAsia"/>
          <w:szCs w:val="20"/>
        </w:rPr>
        <w:t>To characterize</w:t>
      </w:r>
      <w:r w:rsidR="003C0648">
        <w:rPr>
          <w:rFonts w:hint="eastAsia"/>
          <w:szCs w:val="20"/>
        </w:rPr>
        <w:t xml:space="preserve">, </w:t>
      </w:r>
      <w:r w:rsidR="003C0648" w:rsidRPr="003C0648">
        <w:rPr>
          <w:szCs w:val="20"/>
        </w:rPr>
        <w:t>we developed an assay</w:t>
      </w:r>
      <w:r w:rsidR="003C0648">
        <w:rPr>
          <w:rFonts w:hint="eastAsia"/>
          <w:szCs w:val="20"/>
        </w:rPr>
        <w:t xml:space="preserve"> </w:t>
      </w:r>
      <w:r w:rsidR="003C0648">
        <w:rPr>
          <w:szCs w:val="20"/>
        </w:rPr>
        <w:t xml:space="preserve">based on single-molecule </w:t>
      </w:r>
      <w:r w:rsidR="001972E4">
        <w:rPr>
          <w:rFonts w:hint="eastAsia"/>
          <w:szCs w:val="20"/>
        </w:rPr>
        <w:t xml:space="preserve">total internal fluorescence </w:t>
      </w:r>
      <w:r w:rsidR="00DA19FE">
        <w:rPr>
          <w:rFonts w:hint="eastAsia"/>
          <w:szCs w:val="20"/>
        </w:rPr>
        <w:t xml:space="preserve">(smTIRF) </w:t>
      </w:r>
      <w:r w:rsidR="001972E4">
        <w:rPr>
          <w:rFonts w:hint="eastAsia"/>
          <w:szCs w:val="20"/>
        </w:rPr>
        <w:t>microscopy</w:t>
      </w:r>
      <w:r w:rsidR="00DA19FE">
        <w:rPr>
          <w:rFonts w:hint="eastAsia"/>
          <w:szCs w:val="20"/>
        </w:rPr>
        <w:t xml:space="preserve"> </w:t>
      </w:r>
      <w:r w:rsidR="003C0648">
        <w:rPr>
          <w:rFonts w:hint="eastAsia"/>
          <w:szCs w:val="20"/>
        </w:rPr>
        <w:t xml:space="preserve">and found </w:t>
      </w:r>
      <w:r w:rsidR="001972E4">
        <w:rPr>
          <w:rFonts w:hint="eastAsia"/>
          <w:szCs w:val="20"/>
        </w:rPr>
        <w:t xml:space="preserve">underlying mechanism of protospacer loading process with </w:t>
      </w:r>
      <w:r w:rsidR="00B46EE7">
        <w:rPr>
          <w:rFonts w:hint="eastAsia"/>
          <w:szCs w:val="20"/>
        </w:rPr>
        <w:t xml:space="preserve">structural and </w:t>
      </w:r>
      <w:r w:rsidR="001972E4">
        <w:rPr>
          <w:rFonts w:hint="eastAsia"/>
          <w:szCs w:val="20"/>
        </w:rPr>
        <w:t>kinetics modeling.</w:t>
      </w:r>
      <w:r w:rsidR="00131343">
        <w:rPr>
          <w:rFonts w:hint="eastAsia"/>
          <w:szCs w:val="20"/>
        </w:rPr>
        <w:t xml:space="preserve"> </w:t>
      </w:r>
      <w:r w:rsidR="004048CD">
        <w:rPr>
          <w:rFonts w:hint="eastAsia"/>
          <w:szCs w:val="20"/>
        </w:rPr>
        <w:t>Furthermore, w</w:t>
      </w:r>
      <w:r w:rsidR="00131343">
        <w:rPr>
          <w:rFonts w:hint="eastAsia"/>
          <w:szCs w:val="20"/>
        </w:rPr>
        <w:t xml:space="preserve">e </w:t>
      </w:r>
      <w:r w:rsidR="009D1778">
        <w:rPr>
          <w:rFonts w:hint="eastAsia"/>
          <w:szCs w:val="20"/>
        </w:rPr>
        <w:t>identified</w:t>
      </w:r>
      <w:r w:rsidR="00131343">
        <w:rPr>
          <w:rFonts w:hint="eastAsia"/>
          <w:szCs w:val="20"/>
        </w:rPr>
        <w:t xml:space="preserve"> DnaQ</w:t>
      </w:r>
      <w:r w:rsidR="001972E4">
        <w:rPr>
          <w:rFonts w:hint="eastAsia"/>
          <w:szCs w:val="20"/>
        </w:rPr>
        <w:t xml:space="preserve"> or DnaQ-like 3</w:t>
      </w:r>
      <w:r w:rsidR="001972E4">
        <w:rPr>
          <w:szCs w:val="20"/>
        </w:rPr>
        <w:t>'</w:t>
      </w:r>
      <w:r w:rsidR="001972E4">
        <w:rPr>
          <w:rFonts w:hint="eastAsia"/>
          <w:szCs w:val="20"/>
        </w:rPr>
        <w:t>-5</w:t>
      </w:r>
      <w:r w:rsidR="001972E4">
        <w:rPr>
          <w:szCs w:val="20"/>
        </w:rPr>
        <w:t>'</w:t>
      </w:r>
      <w:r w:rsidR="001972E4">
        <w:rPr>
          <w:rFonts w:hint="eastAsia"/>
          <w:szCs w:val="20"/>
        </w:rPr>
        <w:t xml:space="preserve"> exonucleases</w:t>
      </w:r>
      <w:r w:rsidR="004048CD">
        <w:rPr>
          <w:rFonts w:hint="eastAsia"/>
          <w:szCs w:val="20"/>
        </w:rPr>
        <w:t xml:space="preserve"> </w:t>
      </w:r>
      <w:r w:rsidR="009D1778">
        <w:rPr>
          <w:rFonts w:hint="eastAsia"/>
          <w:szCs w:val="20"/>
        </w:rPr>
        <w:t>as</w:t>
      </w:r>
      <w:r w:rsidR="004A7C50">
        <w:rPr>
          <w:rFonts w:hint="eastAsia"/>
          <w:szCs w:val="20"/>
        </w:rPr>
        <w:t xml:space="preserve"> </w:t>
      </w:r>
      <w:r w:rsidR="009D1778">
        <w:rPr>
          <w:rFonts w:hint="eastAsia"/>
          <w:szCs w:val="20"/>
        </w:rPr>
        <w:t>single-stranded overhang trimmers,</w:t>
      </w:r>
      <w:r w:rsidR="004A7C50">
        <w:rPr>
          <w:rFonts w:hint="eastAsia"/>
          <w:szCs w:val="20"/>
        </w:rPr>
        <w:t xml:space="preserve"> </w:t>
      </w:r>
      <w:r w:rsidR="009D1778">
        <w:rPr>
          <w:rFonts w:hint="eastAsia"/>
          <w:szCs w:val="20"/>
        </w:rPr>
        <w:t xml:space="preserve">and </w:t>
      </w:r>
      <w:r w:rsidR="00436F49">
        <w:rPr>
          <w:rFonts w:hint="eastAsia"/>
          <w:szCs w:val="20"/>
        </w:rPr>
        <w:t>their intriguing features of trimming process</w:t>
      </w:r>
      <w:r w:rsidR="004048CD">
        <w:rPr>
          <w:rFonts w:hint="eastAsia"/>
          <w:szCs w:val="20"/>
        </w:rPr>
        <w:t xml:space="preserve">. </w:t>
      </w:r>
      <w:r w:rsidR="00436F49">
        <w:rPr>
          <w:rFonts w:hint="eastAsia"/>
          <w:szCs w:val="20"/>
        </w:rPr>
        <w:t>Collectively, we provide</w:t>
      </w:r>
      <w:r w:rsidR="004048CD">
        <w:rPr>
          <w:rFonts w:hint="eastAsia"/>
          <w:szCs w:val="20"/>
        </w:rPr>
        <w:t xml:space="preserve"> </w:t>
      </w:r>
      <w:r w:rsidR="00DA19FE">
        <w:rPr>
          <w:rFonts w:hint="eastAsia"/>
          <w:szCs w:val="20"/>
        </w:rPr>
        <w:t xml:space="preserve">a model </w:t>
      </w:r>
      <w:r w:rsidR="004048CD">
        <w:rPr>
          <w:rFonts w:hint="eastAsia"/>
          <w:szCs w:val="20"/>
        </w:rPr>
        <w:t xml:space="preserve">that delayed PAM trimming can drive </w:t>
      </w:r>
      <w:r w:rsidR="00131343">
        <w:rPr>
          <w:rFonts w:hint="eastAsia"/>
          <w:szCs w:val="20"/>
        </w:rPr>
        <w:t>the correct orientation of sp</w:t>
      </w:r>
      <w:r w:rsidR="004048CD">
        <w:rPr>
          <w:rFonts w:hint="eastAsia"/>
          <w:szCs w:val="20"/>
        </w:rPr>
        <w:t>acer integration</w:t>
      </w:r>
      <w:r w:rsidR="00436F49">
        <w:rPr>
          <w:rFonts w:hint="eastAsia"/>
          <w:szCs w:val="20"/>
        </w:rPr>
        <w:t xml:space="preserve"> in type I-E system</w:t>
      </w:r>
      <w:r w:rsidR="00DA19FE">
        <w:rPr>
          <w:rFonts w:hint="eastAsia"/>
          <w:szCs w:val="20"/>
        </w:rPr>
        <w:t>,</w:t>
      </w:r>
      <w:r w:rsidR="00436F49">
        <w:rPr>
          <w:rFonts w:hint="eastAsia"/>
          <w:szCs w:val="20"/>
        </w:rPr>
        <w:t xml:space="preserve"> </w:t>
      </w:r>
      <w:r w:rsidR="00D17608">
        <w:rPr>
          <w:rFonts w:hint="eastAsia"/>
          <w:szCs w:val="20"/>
        </w:rPr>
        <w:t xml:space="preserve">which was </w:t>
      </w:r>
      <w:r w:rsidR="004048CD">
        <w:rPr>
          <w:rFonts w:hint="eastAsia"/>
          <w:szCs w:val="20"/>
        </w:rPr>
        <w:t xml:space="preserve">validated </w:t>
      </w:r>
      <w:r w:rsidR="00436F49">
        <w:rPr>
          <w:rFonts w:hint="eastAsia"/>
          <w:szCs w:val="20"/>
        </w:rPr>
        <w:t xml:space="preserve">the model </w:t>
      </w:r>
      <w:r w:rsidR="004048CD">
        <w:rPr>
          <w:rFonts w:hint="eastAsia"/>
          <w:szCs w:val="20"/>
        </w:rPr>
        <w:t xml:space="preserve">by </w:t>
      </w:r>
      <w:r w:rsidR="004048CD" w:rsidRPr="00DA19FE">
        <w:rPr>
          <w:rFonts w:hint="eastAsia"/>
          <w:i/>
          <w:szCs w:val="20"/>
        </w:rPr>
        <w:t>in vitro</w:t>
      </w:r>
      <w:r w:rsidR="004048CD">
        <w:rPr>
          <w:rFonts w:hint="eastAsia"/>
          <w:szCs w:val="20"/>
        </w:rPr>
        <w:t xml:space="preserve"> biochemical and </w:t>
      </w:r>
      <w:r w:rsidR="00DA19FE">
        <w:rPr>
          <w:rFonts w:hint="eastAsia"/>
          <w:szCs w:val="20"/>
        </w:rPr>
        <w:t xml:space="preserve">smTIRF </w:t>
      </w:r>
      <w:r w:rsidR="004048CD">
        <w:rPr>
          <w:rFonts w:hint="eastAsia"/>
          <w:szCs w:val="20"/>
        </w:rPr>
        <w:t>assay</w:t>
      </w:r>
      <w:r w:rsidR="004D0C1F">
        <w:rPr>
          <w:rFonts w:hint="eastAsia"/>
          <w:szCs w:val="20"/>
        </w:rPr>
        <w:t xml:space="preserve">. </w:t>
      </w:r>
      <w:bookmarkEnd w:id="2"/>
      <w:bookmarkEnd w:id="3"/>
      <w:r w:rsidR="00B46EE7">
        <w:rPr>
          <w:rFonts w:hint="eastAsia"/>
          <w:szCs w:val="20"/>
        </w:rPr>
        <w:t xml:space="preserve">Further works </w:t>
      </w:r>
      <w:r w:rsidR="00436F49">
        <w:rPr>
          <w:rFonts w:hint="eastAsia"/>
          <w:szCs w:val="20"/>
        </w:rPr>
        <w:t>might be</w:t>
      </w:r>
      <w:r w:rsidR="00B46EE7">
        <w:rPr>
          <w:rFonts w:hint="eastAsia"/>
          <w:szCs w:val="20"/>
        </w:rPr>
        <w:t xml:space="preserve"> needed </w:t>
      </w:r>
      <w:r w:rsidR="00843ED7">
        <w:rPr>
          <w:rFonts w:hint="eastAsia"/>
          <w:szCs w:val="20"/>
        </w:rPr>
        <w:t xml:space="preserve">in different types </w:t>
      </w:r>
      <w:r w:rsidR="00B46EE7">
        <w:rPr>
          <w:rFonts w:hint="eastAsia"/>
          <w:szCs w:val="20"/>
        </w:rPr>
        <w:t>to generalize this notion to shed light on the integrated understanding of memory formation in CRISPR-Cas adaptive immunity.</w:t>
      </w:r>
    </w:p>
    <w:p w:rsidR="006505E5" w:rsidRDefault="006505E5">
      <w:pPr>
        <w:rPr>
          <w:szCs w:val="20"/>
        </w:rPr>
      </w:pPr>
    </w:p>
    <w:sectPr w:rsidR="006505E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2"/>
    <w:rsid w:val="00131343"/>
    <w:rsid w:val="001972E4"/>
    <w:rsid w:val="00235098"/>
    <w:rsid w:val="002F4D88"/>
    <w:rsid w:val="003C0648"/>
    <w:rsid w:val="004048CD"/>
    <w:rsid w:val="00436F49"/>
    <w:rsid w:val="004A7C50"/>
    <w:rsid w:val="004D0C1F"/>
    <w:rsid w:val="005071C2"/>
    <w:rsid w:val="00622BB9"/>
    <w:rsid w:val="006505E5"/>
    <w:rsid w:val="00795E1A"/>
    <w:rsid w:val="00843ED7"/>
    <w:rsid w:val="009D1778"/>
    <w:rsid w:val="00AE1421"/>
    <w:rsid w:val="00AF1FE6"/>
    <w:rsid w:val="00B46EE7"/>
    <w:rsid w:val="00BC2452"/>
    <w:rsid w:val="00CA2890"/>
    <w:rsid w:val="00D17608"/>
    <w:rsid w:val="00D237D2"/>
    <w:rsid w:val="00DA19FE"/>
    <w:rsid w:val="00E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02B04-A312-4C35-838F-3D36E4D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Sungchul Kim - TNW</dc:creator>
  <cp:lastModifiedBy>Sonic</cp:lastModifiedBy>
  <cp:revision>2</cp:revision>
  <cp:lastPrinted>2018-12-04T19:26:00Z</cp:lastPrinted>
  <dcterms:created xsi:type="dcterms:W3CDTF">2018-12-05T01:43:00Z</dcterms:created>
  <dcterms:modified xsi:type="dcterms:W3CDTF">2018-12-05T01:43:00Z</dcterms:modified>
</cp:coreProperties>
</file>